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60612" w14:textId="77777777" w:rsidR="00783018" w:rsidRDefault="00783018" w:rsidP="00783018">
      <w:pPr>
        <w:pStyle w:val="Default"/>
      </w:pPr>
    </w:p>
    <w:p w14:paraId="0563C6AC" w14:textId="1B8B0FB2" w:rsidR="00783018" w:rsidRDefault="00414D65" w:rsidP="00783018">
      <w:pPr>
        <w:pStyle w:val="Default"/>
        <w:rPr>
          <w:b/>
          <w:bCs/>
        </w:rPr>
      </w:pPr>
      <w:r>
        <w:rPr>
          <w:b/>
          <w:bCs/>
        </w:rPr>
        <w:t>EHITUSTÖÖDE TÖÖVÕTU</w:t>
      </w:r>
      <w:r w:rsidR="00783018">
        <w:rPr>
          <w:b/>
          <w:bCs/>
        </w:rPr>
        <w:t xml:space="preserve">LEPINGU NR </w:t>
      </w:r>
      <w:r w:rsidR="003E0E7B">
        <w:rPr>
          <w:b/>
          <w:bCs/>
        </w:rPr>
        <w:t>12-1/</w:t>
      </w:r>
      <w:r w:rsidR="000A0978">
        <w:rPr>
          <w:b/>
          <w:bCs/>
        </w:rPr>
        <w:t>24-71</w:t>
      </w:r>
      <w:r w:rsidR="00783018">
        <w:rPr>
          <w:b/>
          <w:bCs/>
        </w:rPr>
        <w:t xml:space="preserve"> LISA </w:t>
      </w:r>
      <w:r w:rsidR="006B3E2E">
        <w:rPr>
          <w:b/>
          <w:bCs/>
        </w:rPr>
        <w:t>1</w:t>
      </w:r>
    </w:p>
    <w:p w14:paraId="5FC957B3" w14:textId="77777777" w:rsidR="00783018" w:rsidRDefault="00783018" w:rsidP="00783018">
      <w:pPr>
        <w:pStyle w:val="Default"/>
      </w:pPr>
    </w:p>
    <w:p w14:paraId="4A36561A" w14:textId="77777777" w:rsidR="00783018" w:rsidRDefault="00783018" w:rsidP="00783018">
      <w:pPr>
        <w:pStyle w:val="Default"/>
      </w:pPr>
      <w:r>
        <w:rPr>
          <w:i/>
          <w:iCs/>
        </w:rPr>
        <w:t xml:space="preserve">                                                                                                        [kuupäev digiallkirjas] </w:t>
      </w:r>
    </w:p>
    <w:p w14:paraId="219208C0" w14:textId="77777777" w:rsidR="00783018" w:rsidRDefault="00783018" w:rsidP="00783018">
      <w:pPr>
        <w:pStyle w:val="Default"/>
      </w:pPr>
    </w:p>
    <w:p w14:paraId="7A667767" w14:textId="5BA40308" w:rsidR="00783018" w:rsidRDefault="00E116C6" w:rsidP="00E116C6">
      <w:pPr>
        <w:pStyle w:val="Default"/>
      </w:pPr>
      <w:bookmarkStart w:id="0" w:name="_Hlk151368567"/>
      <w:r w:rsidRPr="00E116C6">
        <w:rPr>
          <w:b/>
          <w:bCs/>
        </w:rPr>
        <w:t>Eesti Geoloogiateenistus</w:t>
      </w:r>
      <w:bookmarkEnd w:id="0"/>
      <w:r w:rsidR="00783018">
        <w:t xml:space="preserve">, keda esindab </w:t>
      </w:r>
      <w:r w:rsidR="00FD5F2B">
        <w:t>Sirli Sipp Kulli</w:t>
      </w:r>
      <w:r w:rsidR="00783018">
        <w:t xml:space="preserve">, </w:t>
      </w:r>
      <w:r w:rsidR="00FE5312">
        <w:t>r</w:t>
      </w:r>
      <w:r>
        <w:t>egistrikood 77000387</w:t>
      </w:r>
      <w:r w:rsidR="00FE5312">
        <w:t xml:space="preserve">, </w:t>
      </w:r>
      <w:r>
        <w:t>aadress F. R. Kreutzwaldi 5</w:t>
      </w:r>
      <w:r w:rsidR="00FE5312">
        <w:t xml:space="preserve">, </w:t>
      </w:r>
      <w:r>
        <w:t>44314 Rakvere</w:t>
      </w:r>
      <w:r w:rsidR="00783018">
        <w:t xml:space="preserve"> (edaspidi nimetatud " Tellija ") ja </w:t>
      </w:r>
    </w:p>
    <w:p w14:paraId="47FF9976" w14:textId="77777777" w:rsidR="00783018" w:rsidRDefault="00783018" w:rsidP="00783018">
      <w:pPr>
        <w:pStyle w:val="Default"/>
      </w:pPr>
    </w:p>
    <w:p w14:paraId="33AF2533" w14:textId="02FEAC47" w:rsidR="00783018" w:rsidRDefault="00725E26" w:rsidP="00783018">
      <w:pPr>
        <w:pStyle w:val="Default"/>
      </w:pPr>
      <w:r>
        <w:rPr>
          <w:b/>
          <w:bCs/>
        </w:rPr>
        <w:t xml:space="preserve">Inseneribüroo </w:t>
      </w:r>
      <w:proofErr w:type="spellStart"/>
      <w:r>
        <w:rPr>
          <w:b/>
          <w:bCs/>
        </w:rPr>
        <w:t>Steiger</w:t>
      </w:r>
      <w:proofErr w:type="spellEnd"/>
      <w:r w:rsidR="00327A2E">
        <w:rPr>
          <w:b/>
          <w:bCs/>
        </w:rPr>
        <w:t xml:space="preserve"> OÜ</w:t>
      </w:r>
      <w:r w:rsidR="00783018">
        <w:t>, keda esindab</w:t>
      </w:r>
      <w:r w:rsidR="00327A2E">
        <w:t xml:space="preserve"> </w:t>
      </w:r>
      <w:r w:rsidR="006B3E2E">
        <w:t xml:space="preserve">Erki </w:t>
      </w:r>
      <w:proofErr w:type="spellStart"/>
      <w:r w:rsidR="006B3E2E">
        <w:t>Niitlaan</w:t>
      </w:r>
      <w:proofErr w:type="spellEnd"/>
      <w:r w:rsidR="00783018">
        <w:t xml:space="preserve">, registrikood </w:t>
      </w:r>
      <w:r w:rsidR="00877280" w:rsidRPr="00877280">
        <w:t>11206437</w:t>
      </w:r>
      <w:r w:rsidR="00783018">
        <w:t xml:space="preserve">, </w:t>
      </w:r>
      <w:r w:rsidR="00C10102">
        <w:t xml:space="preserve">aadress </w:t>
      </w:r>
      <w:r w:rsidR="00877280">
        <w:t>Männiku</w:t>
      </w:r>
      <w:r w:rsidR="00EC6724" w:rsidRPr="00EC6724">
        <w:t xml:space="preserve"> t</w:t>
      </w:r>
      <w:r w:rsidR="00877280">
        <w:t>ee</w:t>
      </w:r>
      <w:r w:rsidR="00EC6724" w:rsidRPr="00EC6724">
        <w:t xml:space="preserve"> 1</w:t>
      </w:r>
      <w:r w:rsidR="00877280">
        <w:t>04/1</w:t>
      </w:r>
      <w:r w:rsidR="00EC6724" w:rsidRPr="00EC6724">
        <w:t xml:space="preserve">, </w:t>
      </w:r>
      <w:r w:rsidR="00877280">
        <w:t>11216</w:t>
      </w:r>
      <w:r w:rsidR="00783018">
        <w:t xml:space="preserve"> </w:t>
      </w:r>
      <w:r w:rsidR="00877280">
        <w:t>Tallinna</w:t>
      </w:r>
      <w:r w:rsidR="00EC6724" w:rsidRPr="00EC6724">
        <w:t xml:space="preserve"> linn </w:t>
      </w:r>
      <w:r w:rsidR="00783018">
        <w:t xml:space="preserve">(edaspidi nimetatud "Töövõtja"), edaspidi eraldi ka Pool või koos Pooled, </w:t>
      </w:r>
    </w:p>
    <w:p w14:paraId="6132ED7E" w14:textId="77777777" w:rsidR="00783018" w:rsidRDefault="00783018" w:rsidP="00783018">
      <w:pPr>
        <w:pStyle w:val="Default"/>
      </w:pPr>
    </w:p>
    <w:p w14:paraId="79CDDE0D" w14:textId="170EFE57" w:rsidR="00783018" w:rsidRDefault="00783018" w:rsidP="00783018">
      <w:pPr>
        <w:pStyle w:val="Default"/>
      </w:pPr>
      <w:r>
        <w:t xml:space="preserve">sõlmisid </w:t>
      </w:r>
      <w:r w:rsidR="003E0E7B">
        <w:t xml:space="preserve">RHS § 123 lg 1 p </w:t>
      </w:r>
      <w:r w:rsidR="00AC0772">
        <w:t>4</w:t>
      </w:r>
      <w:r w:rsidR="003E0E7B">
        <w:t xml:space="preserve"> alusel </w:t>
      </w:r>
      <w:r>
        <w:t xml:space="preserve">käesoleva lepingu lisa </w:t>
      </w:r>
      <w:r w:rsidR="00064467">
        <w:t>1</w:t>
      </w:r>
      <w:r>
        <w:t xml:space="preserve"> alljärgnevas:</w:t>
      </w:r>
    </w:p>
    <w:p w14:paraId="69CC8C69" w14:textId="77777777" w:rsidR="00783018" w:rsidRDefault="00783018" w:rsidP="00783018">
      <w:pPr>
        <w:pStyle w:val="Loendilik"/>
        <w:tabs>
          <w:tab w:val="left" w:pos="1027"/>
        </w:tabs>
        <w:spacing w:before="2"/>
        <w:ind w:right="229"/>
        <w:rPr>
          <w:sz w:val="24"/>
          <w:szCs w:val="24"/>
        </w:rPr>
      </w:pPr>
    </w:p>
    <w:p w14:paraId="6733835D" w14:textId="793F1027" w:rsidR="00783018" w:rsidRDefault="00783018" w:rsidP="00783018">
      <w:pPr>
        <w:pStyle w:val="Loendilik"/>
        <w:tabs>
          <w:tab w:val="left" w:pos="1027"/>
        </w:tabs>
        <w:spacing w:before="2"/>
        <w:ind w:right="229"/>
        <w:rPr>
          <w:sz w:val="24"/>
          <w:szCs w:val="24"/>
        </w:rPr>
      </w:pPr>
      <w:r>
        <w:rPr>
          <w:sz w:val="24"/>
          <w:szCs w:val="24"/>
        </w:rPr>
        <w:t xml:space="preserve">1. </w:t>
      </w:r>
      <w:r w:rsidR="00AC0772">
        <w:rPr>
          <w:sz w:val="24"/>
          <w:szCs w:val="24"/>
        </w:rPr>
        <w:t xml:space="preserve">Pikendada lepingu täitmise tähtaega </w:t>
      </w:r>
      <w:r w:rsidR="00BC2463">
        <w:rPr>
          <w:sz w:val="24"/>
          <w:szCs w:val="24"/>
        </w:rPr>
        <w:t xml:space="preserve"> </w:t>
      </w:r>
      <w:r w:rsidR="006F0D9D">
        <w:rPr>
          <w:sz w:val="24"/>
          <w:szCs w:val="24"/>
        </w:rPr>
        <w:t>kuni 3</w:t>
      </w:r>
      <w:r w:rsidR="002D5AC9">
        <w:rPr>
          <w:sz w:val="24"/>
          <w:szCs w:val="24"/>
        </w:rPr>
        <w:t>0</w:t>
      </w:r>
      <w:r w:rsidR="006F0D9D">
        <w:rPr>
          <w:sz w:val="24"/>
          <w:szCs w:val="24"/>
        </w:rPr>
        <w:t>.</w:t>
      </w:r>
      <w:r w:rsidR="007C2EB9">
        <w:rPr>
          <w:sz w:val="24"/>
          <w:szCs w:val="24"/>
        </w:rPr>
        <w:t>0</w:t>
      </w:r>
      <w:r w:rsidR="00064467">
        <w:rPr>
          <w:sz w:val="24"/>
          <w:szCs w:val="24"/>
        </w:rPr>
        <w:t>9</w:t>
      </w:r>
      <w:r w:rsidR="006F0D9D">
        <w:rPr>
          <w:sz w:val="24"/>
          <w:szCs w:val="24"/>
        </w:rPr>
        <w:t>.2024</w:t>
      </w:r>
    </w:p>
    <w:p w14:paraId="31CAAA82" w14:textId="77777777" w:rsidR="006D7D30" w:rsidRDefault="006D7D30" w:rsidP="00783018">
      <w:pPr>
        <w:pStyle w:val="Loendilik"/>
        <w:tabs>
          <w:tab w:val="left" w:pos="1027"/>
        </w:tabs>
        <w:spacing w:before="2"/>
        <w:ind w:right="229"/>
        <w:rPr>
          <w:sz w:val="24"/>
        </w:rPr>
      </w:pPr>
    </w:p>
    <w:p w14:paraId="41A62D99" w14:textId="1989C1E8" w:rsidR="00783018" w:rsidRDefault="006D7D30" w:rsidP="00A610AB">
      <w:pPr>
        <w:pStyle w:val="Loendilik"/>
        <w:tabs>
          <w:tab w:val="left" w:pos="1027"/>
        </w:tabs>
        <w:spacing w:before="2"/>
        <w:ind w:right="229"/>
        <w:rPr>
          <w:sz w:val="24"/>
        </w:rPr>
      </w:pPr>
      <w:r>
        <w:rPr>
          <w:sz w:val="24"/>
        </w:rPr>
        <w:t xml:space="preserve">2. </w:t>
      </w:r>
      <w:r w:rsidR="007A5107">
        <w:rPr>
          <w:sz w:val="24"/>
        </w:rPr>
        <w:t>Hanke</w:t>
      </w:r>
      <w:r w:rsidR="003E0E7B">
        <w:rPr>
          <w:sz w:val="24"/>
        </w:rPr>
        <w:t>lepingu p 32 sätestatud lepingu hind</w:t>
      </w:r>
      <w:r w:rsidR="007A5107">
        <w:rPr>
          <w:sz w:val="24"/>
        </w:rPr>
        <w:t xml:space="preserve"> </w:t>
      </w:r>
      <w:r w:rsidR="006F0D9D">
        <w:rPr>
          <w:sz w:val="24"/>
        </w:rPr>
        <w:t xml:space="preserve">muudatuse järel ei suurene. </w:t>
      </w:r>
    </w:p>
    <w:p w14:paraId="0386F459" w14:textId="77777777" w:rsidR="00A610AB" w:rsidRPr="00A30047" w:rsidRDefault="00A610AB" w:rsidP="00A610AB">
      <w:pPr>
        <w:pStyle w:val="Loendilik"/>
        <w:tabs>
          <w:tab w:val="left" w:pos="1027"/>
        </w:tabs>
        <w:spacing w:before="2"/>
        <w:ind w:right="229"/>
        <w:rPr>
          <w:sz w:val="24"/>
        </w:rPr>
      </w:pPr>
    </w:p>
    <w:p w14:paraId="04F4F16D" w14:textId="77777777" w:rsidR="005361A4" w:rsidRDefault="000374FF" w:rsidP="00224453">
      <w:pPr>
        <w:pStyle w:val="Loendilik"/>
        <w:tabs>
          <w:tab w:val="left" w:pos="1027"/>
        </w:tabs>
        <w:spacing w:before="2"/>
        <w:ind w:right="229"/>
        <w:rPr>
          <w:sz w:val="24"/>
        </w:rPr>
      </w:pPr>
      <w:r>
        <w:rPr>
          <w:sz w:val="24"/>
        </w:rPr>
        <w:t>3</w:t>
      </w:r>
      <w:r w:rsidR="00783018">
        <w:rPr>
          <w:sz w:val="24"/>
        </w:rPr>
        <w:t xml:space="preserve">. </w:t>
      </w:r>
      <w:r w:rsidR="00F014FD">
        <w:rPr>
          <w:sz w:val="24"/>
        </w:rPr>
        <w:t>Muudatuse põhjuseks on asjaolu, e</w:t>
      </w:r>
      <w:r w:rsidR="00224453">
        <w:rPr>
          <w:sz w:val="24"/>
        </w:rPr>
        <w:t>t</w:t>
      </w:r>
      <w:r w:rsidR="005361A4">
        <w:rPr>
          <w:sz w:val="24"/>
        </w:rPr>
        <w:t xml:space="preserve"> </w:t>
      </w:r>
      <w:r w:rsidR="005361A4" w:rsidRPr="005361A4">
        <w:rPr>
          <w:sz w:val="24"/>
        </w:rPr>
        <w:t>Juuli lõpus lõpetas</w:t>
      </w:r>
      <w:r w:rsidR="005361A4">
        <w:rPr>
          <w:sz w:val="24"/>
        </w:rPr>
        <w:t xml:space="preserve"> töövõtja</w:t>
      </w:r>
      <w:r w:rsidR="005361A4" w:rsidRPr="005361A4">
        <w:rPr>
          <w:sz w:val="24"/>
        </w:rPr>
        <w:t xml:space="preserve"> diameetriga 244,5 mm manteltorude kolonni kokku keevitamise ning allalaskmise. Mantelkolonni pikkusega 265,0 m tsementeerimine </w:t>
      </w:r>
      <w:proofErr w:type="spellStart"/>
      <w:r w:rsidR="005361A4" w:rsidRPr="005361A4">
        <w:rPr>
          <w:sz w:val="24"/>
        </w:rPr>
        <w:t>Perkinsi</w:t>
      </w:r>
      <w:proofErr w:type="spellEnd"/>
      <w:r w:rsidR="005361A4" w:rsidRPr="005361A4">
        <w:rPr>
          <w:sz w:val="24"/>
        </w:rPr>
        <w:t xml:space="preserve"> meetodil viidi lõpuni 31. juulil 2024. aastal. </w:t>
      </w:r>
    </w:p>
    <w:p w14:paraId="0B6E07D2" w14:textId="77777777" w:rsidR="005361A4" w:rsidRDefault="005361A4" w:rsidP="00224453">
      <w:pPr>
        <w:pStyle w:val="Loendilik"/>
        <w:tabs>
          <w:tab w:val="left" w:pos="1027"/>
        </w:tabs>
        <w:spacing w:before="2"/>
        <w:ind w:right="229"/>
        <w:rPr>
          <w:sz w:val="24"/>
        </w:rPr>
      </w:pPr>
      <w:r w:rsidRPr="005361A4">
        <w:rPr>
          <w:sz w:val="24"/>
        </w:rPr>
        <w:t>Pärast tehnoloogilist seisakut (tsemendi tardumine) jätkati puurtöödega 02. augustil keerd-löökpuurimise meetodil suruõhuga, kus tööorganiks kasutati NUMA löökhaamrit, mille löögipea puurkrooni diameeter 220 mm. 03. augustil jõuti rikketsooni, mis oli vahemikus 364 – 375 m. Jõudnud rikketsooni, kiirenes puurimise läbivuskiirus ja õhuga kandus välja tavapäraselt suuremaid gneissi tükke. Rikketsooni lõppedes jätkusid puurtööd tavapärasel kiirusel ja ka puurmete väljakande läbimõõt vähenes. 04. augustil vaheta</w:t>
      </w:r>
      <w:r>
        <w:rPr>
          <w:sz w:val="24"/>
        </w:rPr>
        <w:t>ti</w:t>
      </w:r>
      <w:r w:rsidRPr="005361A4">
        <w:rPr>
          <w:sz w:val="24"/>
        </w:rPr>
        <w:t xml:space="preserve"> haamrit ning koos kolonniga läks alla uus keerd-löökhaamer </w:t>
      </w:r>
      <w:proofErr w:type="spellStart"/>
      <w:r w:rsidRPr="005361A4">
        <w:rPr>
          <w:sz w:val="24"/>
        </w:rPr>
        <w:t>Mincon</w:t>
      </w:r>
      <w:proofErr w:type="spellEnd"/>
      <w:r w:rsidRPr="005361A4">
        <w:rPr>
          <w:sz w:val="24"/>
        </w:rPr>
        <w:t xml:space="preserve"> koos uue löögipea puurkrooni diameeteriga 219 mm ning jätkus tavapärane puurtöö. 05. augusti hommikul olid uued rikketsoonid sügavustel 457 – 458,5 m ja 464 – 466 m. Nagu ka eelmisel korral, siis ka nüüd täheldati tavapärasest suuremat puurimise läbivuskiirust ning suurenes ka õhuga väljakantud puurmete osakeste läbimõõt. Päevane vahetus lõpetas tööpäeva sügavusel 539,4 m. 05. augusti õhtune vahetus jätkas puurtöödega ning vahemikus 551 – 553,5 m oli uus rikketsoon. </w:t>
      </w:r>
    </w:p>
    <w:p w14:paraId="03AFE6C3" w14:textId="0E34675D" w:rsidR="005361A4" w:rsidRDefault="005361A4" w:rsidP="00224453">
      <w:pPr>
        <w:pStyle w:val="Loendilik"/>
        <w:tabs>
          <w:tab w:val="left" w:pos="1027"/>
        </w:tabs>
        <w:spacing w:before="2"/>
        <w:ind w:right="229"/>
        <w:rPr>
          <w:sz w:val="24"/>
        </w:rPr>
      </w:pPr>
      <w:r w:rsidRPr="005361A4">
        <w:rPr>
          <w:sz w:val="24"/>
        </w:rPr>
        <w:t>Kui jõuti sügavusele 555 m, peatati puurtööd, et lisada uus 6 m pikkune puurvarras. Selleks operatsiooniks peatakse</w:t>
      </w:r>
      <w:r>
        <w:rPr>
          <w:sz w:val="24"/>
        </w:rPr>
        <w:t xml:space="preserve"> tavapäraselt</w:t>
      </w:r>
      <w:r w:rsidRPr="005361A4">
        <w:rPr>
          <w:sz w:val="24"/>
        </w:rPr>
        <w:t xml:space="preserve"> suruõhu andmine puurauku, st kolonn keeratakse lahti ja õhurõhk puuraugus väheneb. Kolonn keerati uuesti kinni, käivitati kompressor ning õhurõhk süsteemis tõusis maksimaalse 35 </w:t>
      </w:r>
      <w:proofErr w:type="spellStart"/>
      <w:r w:rsidRPr="005361A4">
        <w:rPr>
          <w:sz w:val="24"/>
        </w:rPr>
        <w:t>bar</w:t>
      </w:r>
      <w:proofErr w:type="spellEnd"/>
      <w:r w:rsidRPr="005361A4">
        <w:rPr>
          <w:sz w:val="24"/>
        </w:rPr>
        <w:t xml:space="preserve"> tasemeni. Kui üritati kolonni pöörata, selgus, et see ei pöörle ja kolonni üles tõsta ka ei õnnestunud.</w:t>
      </w:r>
      <w:r w:rsidRPr="005361A4">
        <w:rPr>
          <w:rFonts w:asciiTheme="minorHAnsi" w:eastAsiaTheme="minorHAnsi" w:hAnsiTheme="minorHAnsi" w:cstheme="minorBidi"/>
          <w:kern w:val="2"/>
          <w14:ligatures w14:val="standardContextual"/>
        </w:rPr>
        <w:t xml:space="preserve"> </w:t>
      </w:r>
      <w:r w:rsidRPr="005361A4">
        <w:rPr>
          <w:sz w:val="24"/>
        </w:rPr>
        <w:t>Oli toimud kolonni kinni kiilumine. Seejärel prooviti 15 kuni 20 minuti jooksul kolonni üles tõsta, alla lükata ja keerata, see kõik tekitas kolonnile ja all olevale haamrile suurt väändekoormust. Ühtäkki süsteemis õhurõhk langes ja taastus ka kolonni pöörlemine. Pärast seda hakkasid koos suruõhuga puuraugust välja tulema suuremad gneissi tükid kui tavapärase puurtööga. Sellised suured kivitükid ei saa tekkida keerd-löökpuurimisel ning oli märk sellest, et rikketsoonist on gneissi tükid välja kukkunud. Edasi puurides läbivust ei olnud ja otsustati kolonn üles tõsta. Kolonni üles tõstes toimus mitmeid kolonni kinni kiilumisi, mis viitab ka sellele, et suuremad kivitükid olid rikketoonist välja kukkunud. Kui kolonn oli üles tõstetud, selgus, et sellel on puudu löögipea puurkroon, mis on metalli küljest lahti rebenenud ja jäänud puurauku.</w:t>
      </w:r>
    </w:p>
    <w:p w14:paraId="65515F42" w14:textId="5F1A9E7C" w:rsidR="00725E26" w:rsidRDefault="005361A4" w:rsidP="00224453">
      <w:pPr>
        <w:pStyle w:val="Loendilik"/>
        <w:tabs>
          <w:tab w:val="left" w:pos="1027"/>
        </w:tabs>
        <w:spacing w:before="2"/>
        <w:ind w:right="229"/>
        <w:rPr>
          <w:sz w:val="24"/>
        </w:rPr>
      </w:pPr>
      <w:r w:rsidRPr="005361A4">
        <w:rPr>
          <w:sz w:val="24"/>
        </w:rPr>
        <w:t>Järgmisel päeval, so 06. augustil, lasti alla tööstuslik laup-pitsatmagnet, et puura</w:t>
      </w:r>
      <w:r>
        <w:rPr>
          <w:sz w:val="24"/>
        </w:rPr>
        <w:t>u</w:t>
      </w:r>
      <w:r w:rsidRPr="005361A4">
        <w:rPr>
          <w:sz w:val="24"/>
        </w:rPr>
        <w:t xml:space="preserve">gu </w:t>
      </w:r>
      <w:r w:rsidRPr="005361A4">
        <w:rPr>
          <w:sz w:val="24"/>
        </w:rPr>
        <w:lastRenderedPageBreak/>
        <w:t>põhjast kätte saada ca 20 cm paksune löögipea puurkroon. Püüdmine ei õnnestunud, küll aga sa</w:t>
      </w:r>
      <w:r>
        <w:rPr>
          <w:sz w:val="24"/>
        </w:rPr>
        <w:t>adi</w:t>
      </w:r>
      <w:r w:rsidRPr="005361A4">
        <w:rPr>
          <w:sz w:val="24"/>
        </w:rPr>
        <w:t xml:space="preserve"> seeläbi teda, et kroon asetseb puuragu põhjas. Avarii esimestel päevadel telliti USA firmast </w:t>
      </w:r>
      <w:proofErr w:type="spellStart"/>
      <w:r w:rsidRPr="005361A4">
        <w:rPr>
          <w:sz w:val="24"/>
        </w:rPr>
        <w:t>Halford</w:t>
      </w:r>
      <w:proofErr w:type="spellEnd"/>
      <w:r w:rsidRPr="005361A4">
        <w:rPr>
          <w:sz w:val="24"/>
        </w:rPr>
        <w:t xml:space="preserve"> </w:t>
      </w:r>
      <w:proofErr w:type="spellStart"/>
      <w:r w:rsidRPr="005361A4">
        <w:rPr>
          <w:sz w:val="24"/>
        </w:rPr>
        <w:t>Milling</w:t>
      </w:r>
      <w:proofErr w:type="spellEnd"/>
      <w:r w:rsidRPr="005361A4">
        <w:rPr>
          <w:sz w:val="24"/>
        </w:rPr>
        <w:t xml:space="preserve"> Tools Company spetsiaalne metallifrees, mille tarnet lubati 36. nädalal.</w:t>
      </w:r>
      <w:r>
        <w:rPr>
          <w:sz w:val="24"/>
        </w:rPr>
        <w:t xml:space="preserve"> </w:t>
      </w:r>
      <w:r w:rsidRPr="005361A4">
        <w:rPr>
          <w:sz w:val="24"/>
        </w:rPr>
        <w:t xml:space="preserve">Järgnevatel nädalatel prooviti krooni kolmel korral keermelõikurpuuriga (nn porgandiga) üles tõsta, kuid ka need katsed ei olnud edukad. Seejärel keevitati kokku metalliringfrees, kuid ka sellega ei saanud kätte puuragu põhjas olevat puurkrooni. </w:t>
      </w:r>
    </w:p>
    <w:p w14:paraId="6DF86C55" w14:textId="77777777" w:rsidR="00224453" w:rsidRDefault="00224453" w:rsidP="00224453">
      <w:pPr>
        <w:pStyle w:val="Loendilik"/>
        <w:tabs>
          <w:tab w:val="left" w:pos="1027"/>
        </w:tabs>
        <w:spacing w:before="2"/>
        <w:ind w:right="229"/>
        <w:rPr>
          <w:sz w:val="24"/>
        </w:rPr>
      </w:pPr>
    </w:p>
    <w:p w14:paraId="173543EA" w14:textId="77777777" w:rsidR="00224453" w:rsidRPr="000374FF" w:rsidRDefault="00224453" w:rsidP="00224453">
      <w:pPr>
        <w:pStyle w:val="Loendilik"/>
        <w:tabs>
          <w:tab w:val="left" w:pos="1027"/>
        </w:tabs>
        <w:spacing w:before="2"/>
        <w:ind w:right="229"/>
        <w:rPr>
          <w:sz w:val="24"/>
        </w:rPr>
      </w:pPr>
    </w:p>
    <w:p w14:paraId="1F300DD7" w14:textId="1B3EE573" w:rsidR="00783018" w:rsidRDefault="005361A4" w:rsidP="00394E84">
      <w:pPr>
        <w:pStyle w:val="Loendilik"/>
        <w:tabs>
          <w:tab w:val="left" w:pos="1027"/>
        </w:tabs>
        <w:spacing w:before="2"/>
        <w:ind w:right="229"/>
        <w:rPr>
          <w:sz w:val="24"/>
        </w:rPr>
      </w:pPr>
      <w:r w:rsidRPr="005361A4">
        <w:rPr>
          <w:sz w:val="24"/>
        </w:rPr>
        <w:t>Lähtudes eeltoodust ja tuginedes ehituse töövõtulepingu üldtingimuste (ETÜ 2013) punktile 1.5 ja 1.42., loeme antud olukorda vääramatu jõu olukorraks kuna geoloogilised rikketsoonid ega nende rohkus ning riketega seonduvad ettenägematud füüsilised takistused ei olnud lepingu osapooltele eelnevalt teada</w:t>
      </w:r>
      <w:r>
        <w:rPr>
          <w:sz w:val="24"/>
        </w:rPr>
        <w:t xml:space="preserve">. </w:t>
      </w:r>
    </w:p>
    <w:p w14:paraId="118FC0FB" w14:textId="77777777" w:rsidR="00783018" w:rsidRDefault="00783018" w:rsidP="00783018">
      <w:pPr>
        <w:rPr>
          <w:rFonts w:ascii="Times New Roman" w:hAnsi="Times New Roman" w:cs="Times New Roman"/>
          <w:sz w:val="24"/>
          <w:szCs w:val="24"/>
        </w:rPr>
      </w:pPr>
    </w:p>
    <w:p w14:paraId="52EB28C9" w14:textId="77777777" w:rsidR="00783018" w:rsidRDefault="00783018" w:rsidP="00783018">
      <w:pPr>
        <w:ind w:left="426" w:hanging="142"/>
        <w:rPr>
          <w:rFonts w:ascii="Times New Roman" w:hAnsi="Times New Roman" w:cs="Times New Roman"/>
          <w:sz w:val="24"/>
          <w:szCs w:val="24"/>
        </w:rPr>
      </w:pPr>
      <w:r>
        <w:rPr>
          <w:rFonts w:ascii="Times New Roman" w:hAnsi="Times New Roman" w:cs="Times New Roman"/>
          <w:sz w:val="24"/>
          <w:szCs w:val="24"/>
        </w:rPr>
        <w:t xml:space="preserve">3. Poolte rekvisiidid: </w:t>
      </w:r>
    </w:p>
    <w:p w14:paraId="22888B6D" w14:textId="77777777" w:rsidR="00783018" w:rsidRDefault="00783018" w:rsidP="00783018">
      <w:pPr>
        <w:rPr>
          <w:rFonts w:ascii="Times New Roman" w:hAnsi="Times New Roman" w:cs="Times New Roman"/>
          <w:sz w:val="24"/>
          <w:szCs w:val="24"/>
        </w:rPr>
      </w:pPr>
    </w:p>
    <w:p w14:paraId="6B59975B" w14:textId="77777777" w:rsidR="00783018" w:rsidRDefault="00783018" w:rsidP="00783018">
      <w:pPr>
        <w:rPr>
          <w:rFonts w:ascii="Times New Roman" w:hAnsi="Times New Roman" w:cs="Times New Roman"/>
          <w:sz w:val="24"/>
          <w:szCs w:val="24"/>
        </w:rPr>
      </w:pPr>
      <w:r>
        <w:rPr>
          <w:rFonts w:ascii="Times New Roman" w:hAnsi="Times New Roman" w:cs="Times New Roman"/>
          <w:sz w:val="24"/>
          <w:szCs w:val="24"/>
        </w:rPr>
        <w:t>TELLIJA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TÖÖVÕTJA</w:t>
      </w:r>
    </w:p>
    <w:p w14:paraId="67107831" w14:textId="4FE4DB4F" w:rsidR="00783018" w:rsidRDefault="00C10102" w:rsidP="00783018">
      <w:pPr>
        <w:rPr>
          <w:rFonts w:ascii="Times New Roman" w:hAnsi="Times New Roman" w:cs="Times New Roman"/>
          <w:sz w:val="24"/>
          <w:szCs w:val="24"/>
        </w:rPr>
      </w:pPr>
      <w:r w:rsidRPr="00C10102">
        <w:rPr>
          <w:rFonts w:ascii="Times New Roman" w:hAnsi="Times New Roman" w:cs="Times New Roman"/>
          <w:b/>
          <w:bCs/>
          <w:sz w:val="24"/>
          <w:szCs w:val="24"/>
        </w:rPr>
        <w:t>Eesti Geoloogiateenistus</w:t>
      </w:r>
      <w:r w:rsidR="00783018">
        <w:rPr>
          <w:rFonts w:ascii="Times New Roman" w:hAnsi="Times New Roman" w:cs="Times New Roman"/>
          <w:b/>
          <w:bCs/>
          <w:sz w:val="24"/>
          <w:szCs w:val="24"/>
        </w:rPr>
        <w:tab/>
      </w:r>
      <w:r w:rsidR="00783018">
        <w:rPr>
          <w:rFonts w:ascii="Times New Roman" w:hAnsi="Times New Roman" w:cs="Times New Roman"/>
          <w:b/>
          <w:bCs/>
          <w:sz w:val="24"/>
          <w:szCs w:val="24"/>
        </w:rPr>
        <w:tab/>
      </w:r>
      <w:r w:rsidR="00783018">
        <w:rPr>
          <w:rFonts w:ascii="Times New Roman" w:hAnsi="Times New Roman" w:cs="Times New Roman"/>
          <w:sz w:val="24"/>
          <w:szCs w:val="24"/>
        </w:rPr>
        <w:tab/>
      </w:r>
      <w:r w:rsidR="00783018">
        <w:rPr>
          <w:rFonts w:ascii="Times New Roman" w:hAnsi="Times New Roman" w:cs="Times New Roman"/>
          <w:sz w:val="24"/>
          <w:szCs w:val="24"/>
        </w:rPr>
        <w:tab/>
      </w:r>
      <w:r w:rsidR="00783018">
        <w:rPr>
          <w:rFonts w:ascii="Times New Roman" w:hAnsi="Times New Roman" w:cs="Times New Roman"/>
          <w:sz w:val="24"/>
          <w:szCs w:val="24"/>
        </w:rPr>
        <w:tab/>
      </w:r>
      <w:r w:rsidR="00725E26">
        <w:rPr>
          <w:rFonts w:ascii="Times New Roman" w:hAnsi="Times New Roman" w:cs="Times New Roman"/>
          <w:b/>
          <w:bCs/>
          <w:sz w:val="24"/>
          <w:szCs w:val="24"/>
        </w:rPr>
        <w:t xml:space="preserve">Inseneribüroo </w:t>
      </w:r>
      <w:proofErr w:type="spellStart"/>
      <w:r w:rsidR="00725E26">
        <w:rPr>
          <w:rFonts w:ascii="Times New Roman" w:hAnsi="Times New Roman" w:cs="Times New Roman"/>
          <w:b/>
          <w:bCs/>
          <w:sz w:val="24"/>
          <w:szCs w:val="24"/>
        </w:rPr>
        <w:t>Steiger</w:t>
      </w:r>
      <w:proofErr w:type="spellEnd"/>
      <w:r w:rsidRPr="00C10102">
        <w:rPr>
          <w:rFonts w:ascii="Times New Roman" w:hAnsi="Times New Roman" w:cs="Times New Roman"/>
          <w:b/>
          <w:bCs/>
          <w:sz w:val="24"/>
          <w:szCs w:val="24"/>
        </w:rPr>
        <w:t xml:space="preserve"> OÜ</w:t>
      </w:r>
    </w:p>
    <w:p w14:paraId="325A8494" w14:textId="723C9917" w:rsidR="00330407" w:rsidRPr="000374FF" w:rsidRDefault="00783018">
      <w:pPr>
        <w:rPr>
          <w:rFonts w:ascii="Times New Roman" w:hAnsi="Times New Roman" w:cs="Times New Roman"/>
          <w:i/>
          <w:iCs/>
          <w:sz w:val="24"/>
          <w:szCs w:val="24"/>
        </w:rPr>
      </w:pPr>
      <w:r>
        <w:rPr>
          <w:rFonts w:ascii="Times New Roman" w:hAnsi="Times New Roman" w:cs="Times New Roman"/>
          <w:i/>
          <w:iCs/>
          <w:sz w:val="24"/>
          <w:szCs w:val="24"/>
        </w:rPr>
        <w:t>/allkirjastatud digitaalselt/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/allkirjastatud digitaalselt/</w:t>
      </w:r>
    </w:p>
    <w:sectPr w:rsidR="00330407" w:rsidRPr="00037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M2MbUwNzExNDdT0lEKTi0uzszPAykwqgUAP1cUZiwAAAA="/>
  </w:docVars>
  <w:rsids>
    <w:rsidRoot w:val="009C7F47"/>
    <w:rsid w:val="00000903"/>
    <w:rsid w:val="000374FF"/>
    <w:rsid w:val="00064467"/>
    <w:rsid w:val="00084C9B"/>
    <w:rsid w:val="000A0978"/>
    <w:rsid w:val="000F328F"/>
    <w:rsid w:val="00101174"/>
    <w:rsid w:val="001935C9"/>
    <w:rsid w:val="00224453"/>
    <w:rsid w:val="002363DE"/>
    <w:rsid w:val="002563C3"/>
    <w:rsid w:val="002D5AC9"/>
    <w:rsid w:val="003146B0"/>
    <w:rsid w:val="003270F5"/>
    <w:rsid w:val="00327A2E"/>
    <w:rsid w:val="00330407"/>
    <w:rsid w:val="003864F9"/>
    <w:rsid w:val="00394E84"/>
    <w:rsid w:val="003A45F5"/>
    <w:rsid w:val="003D07E7"/>
    <w:rsid w:val="003E0E7B"/>
    <w:rsid w:val="003F668D"/>
    <w:rsid w:val="00401DC8"/>
    <w:rsid w:val="00414D65"/>
    <w:rsid w:val="00473C01"/>
    <w:rsid w:val="004B2819"/>
    <w:rsid w:val="005361A4"/>
    <w:rsid w:val="0058461C"/>
    <w:rsid w:val="006221CC"/>
    <w:rsid w:val="006838AA"/>
    <w:rsid w:val="006B3E2E"/>
    <w:rsid w:val="006D6098"/>
    <w:rsid w:val="006D7D30"/>
    <w:rsid w:val="006F0D9D"/>
    <w:rsid w:val="00725861"/>
    <w:rsid w:val="00725E26"/>
    <w:rsid w:val="007312F9"/>
    <w:rsid w:val="00783018"/>
    <w:rsid w:val="007A5107"/>
    <w:rsid w:val="007A59AD"/>
    <w:rsid w:val="007C2EB9"/>
    <w:rsid w:val="007D492E"/>
    <w:rsid w:val="00863C70"/>
    <w:rsid w:val="00877280"/>
    <w:rsid w:val="00881622"/>
    <w:rsid w:val="00883C70"/>
    <w:rsid w:val="008A1947"/>
    <w:rsid w:val="008D4544"/>
    <w:rsid w:val="008D7F15"/>
    <w:rsid w:val="008E4DED"/>
    <w:rsid w:val="009234D8"/>
    <w:rsid w:val="00971D41"/>
    <w:rsid w:val="009C7F47"/>
    <w:rsid w:val="00A01F60"/>
    <w:rsid w:val="00A076DF"/>
    <w:rsid w:val="00A30047"/>
    <w:rsid w:val="00A326A9"/>
    <w:rsid w:val="00A610AB"/>
    <w:rsid w:val="00AC0772"/>
    <w:rsid w:val="00AD660B"/>
    <w:rsid w:val="00B40605"/>
    <w:rsid w:val="00BC2463"/>
    <w:rsid w:val="00C10102"/>
    <w:rsid w:val="00C33031"/>
    <w:rsid w:val="00C43BCA"/>
    <w:rsid w:val="00C83B35"/>
    <w:rsid w:val="00CB440D"/>
    <w:rsid w:val="00CF065F"/>
    <w:rsid w:val="00D44E76"/>
    <w:rsid w:val="00E116C6"/>
    <w:rsid w:val="00E55264"/>
    <w:rsid w:val="00E55E57"/>
    <w:rsid w:val="00EC6724"/>
    <w:rsid w:val="00F014FD"/>
    <w:rsid w:val="00FB0097"/>
    <w:rsid w:val="00FD5F2B"/>
    <w:rsid w:val="00FE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65CB"/>
  <w15:chartTrackingRefBased/>
  <w15:docId w15:val="{55DF460F-E9DE-49CA-B0EE-FD0376E6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83018"/>
    <w:pPr>
      <w:spacing w:line="256" w:lineRule="auto"/>
    </w:pPr>
    <w:rPr>
      <w:lang w:val="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1"/>
    <w:qFormat/>
    <w:rsid w:val="00783018"/>
    <w:pPr>
      <w:widowControl w:val="0"/>
      <w:autoSpaceDE w:val="0"/>
      <w:autoSpaceDN w:val="0"/>
      <w:spacing w:after="0" w:line="240" w:lineRule="auto"/>
      <w:ind w:left="316"/>
      <w:jc w:val="both"/>
    </w:pPr>
    <w:rPr>
      <w:rFonts w:ascii="Times New Roman" w:eastAsia="Times New Roman" w:hAnsi="Times New Roman" w:cs="Times New Roman"/>
      <w:kern w:val="0"/>
      <w14:ligatures w14:val="none"/>
    </w:rPr>
  </w:style>
  <w:style w:type="paragraph" w:customStyle="1" w:styleId="Default">
    <w:name w:val="Default"/>
    <w:rsid w:val="00783018"/>
    <w:pPr>
      <w:autoSpaceDE w:val="0"/>
      <w:autoSpaceDN w:val="0"/>
      <w:adjustRightInd w:val="0"/>
      <w:spacing w:after="0" w:line="240" w:lineRule="auto"/>
    </w:pPr>
    <w:rPr>
      <w:rFonts w:ascii="Times New Roman" w:hAnsi="Times New Roman" w:cs="Times New Roman"/>
      <w:color w:val="000000"/>
      <w:kern w:val="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647</Words>
  <Characters>3756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Kärolin Paju</dc:creator>
  <cp:keywords/>
  <dc:description/>
  <cp:lastModifiedBy>Aivar Auväärt</cp:lastModifiedBy>
  <cp:revision>4</cp:revision>
  <dcterms:created xsi:type="dcterms:W3CDTF">2024-08-30T07:38:00Z</dcterms:created>
  <dcterms:modified xsi:type="dcterms:W3CDTF">2024-08-30T12:32:00Z</dcterms:modified>
</cp:coreProperties>
</file>